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1849"/>
        <w:gridCol w:w="4112"/>
      </w:tblGrid>
      <w:tr w:rsidR="00147416" w:rsidTr="00147416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147416" w:rsidRDefault="00147416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7416" w:rsidRDefault="00147416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147416" w:rsidRDefault="00147416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147416" w:rsidRDefault="001474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47416" w:rsidRDefault="00147416" w:rsidP="00147416">
      <w:pPr>
        <w:rPr>
          <w:b/>
          <w:sz w:val="28"/>
          <w:szCs w:val="28"/>
        </w:rPr>
      </w:pPr>
    </w:p>
    <w:p w:rsidR="00147416" w:rsidRDefault="00147416" w:rsidP="00147416">
      <w:pPr>
        <w:rPr>
          <w:sz w:val="28"/>
          <w:szCs w:val="28"/>
        </w:rPr>
      </w:pPr>
      <w:r>
        <w:rPr>
          <w:b/>
          <w:sz w:val="28"/>
          <w:szCs w:val="28"/>
        </w:rPr>
        <w:t>ПРОЕКТ ПОСТАНОВЛЕНИЯ 2021г</w:t>
      </w:r>
    </w:p>
    <w:p w:rsidR="00147416" w:rsidRDefault="00147416" w:rsidP="00147416">
      <w:pPr>
        <w:rPr>
          <w:sz w:val="28"/>
          <w:szCs w:val="28"/>
        </w:rPr>
      </w:pPr>
    </w:p>
    <w:p w:rsidR="00147416" w:rsidRDefault="00147416" w:rsidP="0014741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Порядка заключения</w:t>
      </w:r>
    </w:p>
    <w:p w:rsidR="00147416" w:rsidRDefault="00147416" w:rsidP="0014741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специального инвестиционного контракта </w:t>
      </w:r>
    </w:p>
    <w:p w:rsidR="00147416" w:rsidRDefault="00147416" w:rsidP="00147416">
      <w:pPr>
        <w:shd w:val="clear" w:color="auto" w:fill="FFFFFF"/>
        <w:jc w:val="both"/>
        <w:rPr>
          <w:sz w:val="28"/>
          <w:szCs w:val="28"/>
        </w:rPr>
      </w:pPr>
    </w:p>
    <w:bookmarkEnd w:id="0"/>
    <w:p w:rsidR="00147416" w:rsidRDefault="00147416" w:rsidP="001474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7416" w:rsidRDefault="00147416" w:rsidP="001474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п.2 ст. 19 Федерального закона от 25.02.1999 года № 39-ФЗ «Об инвестиционной деятельности в Российской Федерации, осуществляемой в форме капитальных вложений»,   ч.4 ст. 16  Федерального закона от 31.12.2014 года № 488-ФЗ «О промышленной политике в Российской Федерации», постановлением Правительства Российской Федерации от 16.07.2015 года № 708                 «О специальных инвестиционных контрактах для отдельных отраслей промышленности», во исполнение представления Благовещенской межрайонной прокуратуры от 31.03.2021 года № 29-2021, Администрация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Иликовский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147416" w:rsidRDefault="00147416" w:rsidP="00147416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47416" w:rsidRDefault="00147416" w:rsidP="00147416">
      <w:pPr>
        <w:shd w:val="clear" w:color="auto" w:fill="FFFFFF"/>
        <w:ind w:left="360"/>
        <w:jc w:val="both"/>
        <w:rPr>
          <w:sz w:val="28"/>
          <w:szCs w:val="28"/>
        </w:rPr>
      </w:pPr>
    </w:p>
    <w:p w:rsidR="00147416" w:rsidRDefault="00147416" w:rsidP="00147416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>
        <w:rPr>
          <w:bCs/>
          <w:sz w:val="28"/>
          <w:szCs w:val="28"/>
        </w:rPr>
        <w:t xml:space="preserve">заключения специального </w:t>
      </w:r>
    </w:p>
    <w:p w:rsidR="00147416" w:rsidRDefault="00147416" w:rsidP="00147416">
      <w:p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инвестиционного контракта.</w:t>
      </w:r>
    </w:p>
    <w:p w:rsidR="00147416" w:rsidRDefault="00147416" w:rsidP="00147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Разместить настоящее Постановление на официальном сайте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Иликовский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Башкортостан.</w:t>
      </w:r>
    </w:p>
    <w:p w:rsidR="00147416" w:rsidRDefault="00147416" w:rsidP="001474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147416" w:rsidRDefault="00147416" w:rsidP="00147416">
      <w:pPr>
        <w:shd w:val="clear" w:color="auto" w:fill="FFFFFF"/>
        <w:rPr>
          <w:sz w:val="28"/>
        </w:rPr>
      </w:pPr>
    </w:p>
    <w:p w:rsidR="00147416" w:rsidRDefault="00147416" w:rsidP="00147416">
      <w:pPr>
        <w:shd w:val="clear" w:color="auto" w:fill="FFFFFF"/>
        <w:rPr>
          <w:sz w:val="28"/>
        </w:rPr>
      </w:pPr>
    </w:p>
    <w:p w:rsidR="00147416" w:rsidRDefault="00147416" w:rsidP="00147416">
      <w:pPr>
        <w:shd w:val="clear" w:color="auto" w:fill="FFFFFF"/>
      </w:pPr>
      <w:r>
        <w:rPr>
          <w:sz w:val="28"/>
        </w:rPr>
        <w:t xml:space="preserve">Глава сельского поселения                                                                     </w:t>
      </w:r>
      <w:proofErr w:type="spellStart"/>
      <w:r>
        <w:rPr>
          <w:sz w:val="28"/>
        </w:rPr>
        <w:t>Д.З.Батршин</w:t>
      </w:r>
      <w:proofErr w:type="spellEnd"/>
    </w:p>
    <w:p w:rsidR="00147416" w:rsidRDefault="00147416" w:rsidP="00147416">
      <w:pPr>
        <w:sectPr w:rsidR="00147416">
          <w:pgSz w:w="11906" w:h="16838"/>
          <w:pgMar w:top="1134" w:right="851" w:bottom="1134" w:left="1134" w:header="720" w:footer="720" w:gutter="0"/>
          <w:cols w:space="720"/>
        </w:sectPr>
      </w:pP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Иликовский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Благовещенский район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</w:p>
    <w:p w:rsidR="00147416" w:rsidRDefault="00147416" w:rsidP="00147416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2021 года</w:t>
      </w:r>
    </w:p>
    <w:p w:rsidR="00147416" w:rsidRDefault="00147416" w:rsidP="00147416">
      <w:pPr>
        <w:ind w:left="522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____</w:t>
      </w:r>
    </w:p>
    <w:p w:rsidR="00147416" w:rsidRDefault="00147416" w:rsidP="00147416">
      <w:pPr>
        <w:ind w:left="5220"/>
        <w:jc w:val="right"/>
        <w:rPr>
          <w:sz w:val="28"/>
          <w:szCs w:val="28"/>
        </w:rPr>
      </w:pPr>
    </w:p>
    <w:p w:rsidR="00147416" w:rsidRDefault="00147416" w:rsidP="00147416">
      <w:pPr>
        <w:ind w:left="5220"/>
        <w:jc w:val="right"/>
        <w:rPr>
          <w:sz w:val="28"/>
          <w:szCs w:val="28"/>
        </w:rPr>
      </w:pPr>
    </w:p>
    <w:p w:rsidR="00147416" w:rsidRDefault="00147416" w:rsidP="0014741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ЗАКЛЮЧЕНИЯ </w:t>
      </w:r>
    </w:p>
    <w:p w:rsidR="00147416" w:rsidRDefault="00147416" w:rsidP="0014741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СПЕЦИАЛЬНОГО ИНВЕСТИЦИОННОГО КОНТРАКТА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заключения специального инвестиционного контракта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сельское поселение).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Специальный инвестиционный контракт заключается от имени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(далее Глава Администрации)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Благовещенский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Администрация)  </w:t>
      </w:r>
      <w:hyperlink r:id="rId6" w:anchor="P94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7" w:anchor="P3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строительство или реконструкцию производственных зданий и </w:t>
      </w:r>
      <w:r>
        <w:rPr>
          <w:rFonts w:ascii="Times New Roman" w:hAnsi="Times New Roman"/>
          <w:sz w:val="28"/>
          <w:szCs w:val="28"/>
        </w:rPr>
        <w:lastRenderedPageBreak/>
        <w:t>сооружений;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8" w:anchor="P5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Глава Администрации не позднее 5 рабочих </w:t>
      </w:r>
      <w:proofErr w:type="gramStart"/>
      <w:r>
        <w:rPr>
          <w:rFonts w:ascii="Times New Roman" w:hAnsi="Times New Roman"/>
          <w:sz w:val="28"/>
          <w:szCs w:val="28"/>
        </w:rPr>
        <w:t>дней  со</w:t>
      </w:r>
      <w:proofErr w:type="gramEnd"/>
      <w:r>
        <w:rPr>
          <w:rFonts w:ascii="Times New Roman" w:hAnsi="Times New Roman"/>
          <w:sz w:val="28"/>
          <w:szCs w:val="28"/>
        </w:rPr>
        <w:t xml:space="preserve">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основании </w:t>
      </w:r>
      <w:hyperlink r:id="rId9" w:anchor="P9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межведомственной комиссии по оценке возможности заключения специальных инвестиционных контрактов в сельском поселении (приложение № 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0" w:anchor="P6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hyperlink r:id="rId11" w:anchor="P4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Порядка.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Администрации документов, указанных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hyperlink r:id="rId12" w:anchor="P3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Порядка, подготавливает заключение, в котором содержится: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</w:t>
      </w:r>
      <w:r>
        <w:rPr>
          <w:rFonts w:ascii="Times New Roman" w:hAnsi="Times New Roman"/>
          <w:sz w:val="28"/>
          <w:szCs w:val="28"/>
        </w:rPr>
        <w:lastRenderedPageBreak/>
        <w:t>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hyperlink r:id="rId13" w:anchor="P3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соответствуют </w:t>
      </w:r>
      <w:hyperlink r:id="rId14" w:anchor="P3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5" w:anchor="P6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 правовым актам Сельского поселения.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Администрации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Администрации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неполучения  Главой  Администрации в течение 20 рабочих дней со дня направления инвестору и привлеченному лицу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>
        <w:rPr>
          <w:rFonts w:ascii="Times New Roman" w:hAnsi="Times New Roman"/>
          <w:sz w:val="28"/>
          <w:szCs w:val="28"/>
        </w:rPr>
        <w:t>контракта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подписывает специальный инвестиционный контракт.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>
        <w:rPr>
          <w:rFonts w:ascii="Times New Roman" w:hAnsi="Times New Roman"/>
          <w:sz w:val="28"/>
          <w:szCs w:val="28"/>
        </w:rPr>
        <w:t>передаются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Администрации, указанным участникам специального инвестиционного контракта.               </w:t>
      </w:r>
    </w:p>
    <w:p w:rsidR="00147416" w:rsidRDefault="00147416" w:rsidP="0014741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 всем вопросам, не урегулированным настоящим Порядком, необходимо руководствоваться постановлением Правительства Российской Федерации от 16.07.2015 №708 «О специальных инвестиционных контрактах для отдельных отраслей промышленности».</w:t>
      </w:r>
    </w:p>
    <w:p w:rsidR="00147416" w:rsidRDefault="00147416" w:rsidP="001474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jc w:val="right"/>
        <w:outlineLvl w:val="1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47416" w:rsidRDefault="00147416" w:rsidP="00147416">
      <w:pPr>
        <w:pStyle w:val="ConsPlusNormal"/>
        <w:ind w:left="4956" w:firstLine="23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заключения специального</w:t>
      </w:r>
    </w:p>
    <w:p w:rsidR="00147416" w:rsidRDefault="00147416" w:rsidP="0014741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   соответствии     с     Порядком       заключения     специального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утвержденного   постановлением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Благовещенский район Республики Башкортостан от ________________                         № ________ (далее - Порядок),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6" w:anchor="P216" w:history="1">
        <w:r>
          <w:rPr>
            <w:rStyle w:val="a6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КПП </w:t>
      </w:r>
      <w:hyperlink r:id="rId17" w:anchor="P216" w:history="1">
        <w:r>
          <w:rPr>
            <w:rStyle w:val="a6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просит 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ним специальный инвестиционный контракт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инвестиционного проекта 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указанных  в  </w:t>
      </w:r>
      <w:hyperlink r:id="rId18" w:anchor="P22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инвестиционного  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привлекается </w:t>
      </w:r>
      <w:hyperlink r:id="rId19" w:anchor="P218" w:history="1">
        <w:r>
          <w:rPr>
            <w:rStyle w:val="a6"/>
            <w:color w:val="auto"/>
            <w:u w:val="none"/>
          </w:rPr>
          <w:t>&lt;**&gt;</w:t>
        </w:r>
      </w:hyperlink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</w:t>
      </w:r>
      <w:proofErr w:type="gramStart"/>
      <w:r>
        <w:rPr>
          <w:rFonts w:ascii="Times New Roman" w:hAnsi="Times New Roman" w:cs="Times New Roman"/>
        </w:rPr>
        <w:t>участия  в</w:t>
      </w:r>
      <w:proofErr w:type="gramEnd"/>
      <w:r>
        <w:rPr>
          <w:rFonts w:ascii="Times New Roman" w:hAnsi="Times New Roman" w:cs="Times New Roman"/>
        </w:rPr>
        <w:t xml:space="preserve">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 условиях, указанных в </w:t>
      </w:r>
      <w:hyperlink r:id="rId20" w:anchor="P22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наименование инвестора и привлеченного </w:t>
      </w:r>
      <w:proofErr w:type="gramStart"/>
      <w:r>
        <w:rPr>
          <w:rFonts w:ascii="Times New Roman" w:hAnsi="Times New Roman" w:cs="Times New Roman"/>
        </w:rPr>
        <w:t>лица  (</w:t>
      </w:r>
      <w:proofErr w:type="gramEnd"/>
      <w:r>
        <w:rPr>
          <w:rFonts w:ascii="Times New Roman" w:hAnsi="Times New Roman" w:cs="Times New Roman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октября 2002 года №127-ФЗ "О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(банкротстве)" 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 деятельность  в  порядке,  предусмотренном  </w:t>
      </w:r>
      <w:hyperlink r:id="rId22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балансовая 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активов  инвестора  и  привлеченного лица (в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инвестора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начисленным  налогам,  сборам  и иным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  платежам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бюджеты  любого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  или  государственные внебюджетные  фонды  за  прошедший  календарный год составляет 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привлеченного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лица  (в  случае  его привлечения) по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начисленным  налогам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r:id="rId23" w:anchor="P218" w:history="1">
        <w:r>
          <w:rPr>
            <w:rStyle w:val="a6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инвестора)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(перечисляются все аффилированные лица инвестора, определяемые </w:t>
      </w:r>
      <w:proofErr w:type="gramStart"/>
      <w:r>
        <w:rPr>
          <w:rFonts w:ascii="Times New Roman" w:hAnsi="Times New Roman" w:cs="Times New Roman"/>
        </w:rPr>
        <w:t>в  соответствии</w:t>
      </w:r>
      <w:proofErr w:type="gramEnd"/>
      <w:r>
        <w:rPr>
          <w:rFonts w:ascii="Times New Roman" w:hAnsi="Times New Roman" w:cs="Times New Roman"/>
        </w:rPr>
        <w:t xml:space="preserve"> со </w:t>
      </w:r>
      <w:hyperlink r:id="rId24" w:history="1">
        <w:r>
          <w:rPr>
            <w:rStyle w:val="a6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аффилированными лицами __________________________________________________</w:t>
      </w:r>
    </w:p>
    <w:p w:rsidR="00147416" w:rsidRDefault="00147416" w:rsidP="001474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(перечисляются все аффилированные лица привлеченного лица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(в случае его привлечения), определяемые в </w:t>
      </w:r>
      <w:proofErr w:type="gramStart"/>
      <w:r>
        <w:rPr>
          <w:rFonts w:ascii="Times New Roman" w:hAnsi="Times New Roman" w:cs="Times New Roman"/>
        </w:rPr>
        <w:t>соответствии  со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25" w:history="1">
        <w:r>
          <w:rPr>
            <w:rStyle w:val="a6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Федерации)</w:t>
      </w:r>
    </w:p>
    <w:p w:rsidR="00147416" w:rsidRDefault="00147416" w:rsidP="001474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>
        <w:rPr>
          <w:rFonts w:ascii="Times New Roman" w:hAnsi="Times New Roman" w:cs="Times New Roman"/>
          <w:sz w:val="28"/>
          <w:szCs w:val="28"/>
        </w:rPr>
        <w:t>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   подписать   специальный   инвестиционный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условиях,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типовой 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специального инвестиционного   контракта,   утвержденной   </w:t>
      </w:r>
      <w:hyperlink r:id="rId2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</w:t>
      </w:r>
      <w:r>
        <w:rPr>
          <w:rFonts w:ascii="Times New Roman" w:hAnsi="Times New Roman" w:cs="Times New Roman"/>
          <w:sz w:val="28"/>
          <w:szCs w:val="28"/>
        </w:rPr>
        <w:lastRenderedPageBreak/>
        <w:t>16   июля   2015  года  №  708 "О специальных инвестиционных контрактах для отдельных отраслей промышленности".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 xml:space="preserve">фамилия, имя, отчество, должность, контактный телефон и </w:t>
      </w:r>
      <w:proofErr w:type="gramStart"/>
      <w:r>
        <w:rPr>
          <w:rFonts w:ascii="Times New Roman" w:hAnsi="Times New Roman" w:cs="Times New Roman"/>
        </w:rPr>
        <w:t>адрес  электронной</w:t>
      </w:r>
      <w:proofErr w:type="gramEnd"/>
      <w:r>
        <w:rPr>
          <w:rFonts w:ascii="Times New Roman" w:hAnsi="Times New Roman" w:cs="Times New Roman"/>
        </w:rPr>
        <w:t xml:space="preserve"> почты)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(перечисляются документы, прилагаемые к </w:t>
      </w:r>
      <w:proofErr w:type="gramStart"/>
      <w:r>
        <w:rPr>
          <w:rFonts w:ascii="Times New Roman" w:hAnsi="Times New Roman" w:cs="Times New Roman"/>
        </w:rPr>
        <w:t>заявлению  в</w:t>
      </w:r>
      <w:proofErr w:type="gramEnd"/>
      <w:r>
        <w:rPr>
          <w:rFonts w:ascii="Times New Roman" w:hAnsi="Times New Roman" w:cs="Times New Roman"/>
        </w:rPr>
        <w:t xml:space="preserve"> соответствии с </w:t>
      </w:r>
      <w:hyperlink r:id="rId27" w:anchor="P37" w:history="1">
        <w:r>
          <w:rPr>
            <w:rStyle w:val="a6"/>
            <w:color w:val="auto"/>
            <w:u w:val="none"/>
          </w:rPr>
          <w:t>пунктами 4</w:t>
        </w:r>
      </w:hyperlink>
      <w:r>
        <w:t xml:space="preserve"> - </w:t>
      </w:r>
      <w:hyperlink r:id="rId28" w:anchor="P59" w:history="1">
        <w:r>
          <w:rPr>
            <w:rStyle w:val="a6"/>
            <w:color w:val="auto"/>
            <w:u w:val="none"/>
          </w:rPr>
          <w:t>6</w:t>
        </w:r>
      </w:hyperlink>
      <w:r>
        <w:rPr>
          <w:rFonts w:ascii="Times New Roman" w:hAnsi="Times New Roman" w:cs="Times New Roman"/>
        </w:rPr>
        <w:t xml:space="preserve"> Порядка)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>(наименование привлеченного лица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в случае его привлечения)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условиях,  изложенных  в настоящем заявлении и прилагаемых к заявлению документах </w:t>
      </w:r>
      <w:hyperlink r:id="rId29" w:anchor="P218" w:history="1">
        <w:r>
          <w:rPr>
            <w:rStyle w:val="a6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привлеченного лица     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(при наличии)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Инвестор</w:t>
      </w:r>
      <w:proofErr w:type="gramEnd"/>
      <w:r>
        <w:rPr>
          <w:rFonts w:ascii="Times New Roman" w:hAnsi="Times New Roman" w:cs="Times New Roman"/>
          <w:sz w:val="22"/>
          <w:szCs w:val="22"/>
        </w:rPr>
        <w:t>,  зарегистрированный  в  соответствии с законодательством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не  участвуют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  подписании специального инвестиционного контракта, данное предложение в заявление не включается</w:t>
      </w:r>
      <w:bookmarkStart w:id="9" w:name="P226"/>
      <w:bookmarkEnd w:id="9"/>
      <w:r>
        <w:rPr>
          <w:rFonts w:ascii="Times New Roman" w:hAnsi="Times New Roman" w:cs="Times New Roman"/>
          <w:sz w:val="22"/>
          <w:szCs w:val="22"/>
        </w:rPr>
        <w:t>.</w:t>
      </w: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</w:p>
    <w:p w:rsidR="00147416" w:rsidRDefault="00147416" w:rsidP="00147416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47416" w:rsidRDefault="00147416" w:rsidP="0014741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заявлению</w:t>
      </w:r>
    </w:p>
    <w:p w:rsidR="00147416" w:rsidRDefault="00147416" w:rsidP="00147416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специального</w:t>
      </w:r>
    </w:p>
    <w:p w:rsidR="00147416" w:rsidRDefault="00147416" w:rsidP="001474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147416" w:rsidRDefault="00147416" w:rsidP="001474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инвестиционного  контракта  _____________ (лет)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  предлагаемый</w:t>
      </w:r>
      <w:proofErr w:type="gramEnd"/>
      <w:r>
        <w:rPr>
          <w:rFonts w:ascii="Times New Roman" w:hAnsi="Times New Roman" w:cs="Times New Roman"/>
        </w:rPr>
        <w:t xml:space="preserve">  инвестором  срок  специального  инвестиционного контракта,  который  рассчитывается  в  соответствии с </w:t>
      </w:r>
      <w:hyperlink r:id="rId30" w:anchor="P35" w:history="1">
        <w:r>
          <w:rPr>
            <w:rStyle w:val="a6"/>
            <w:rFonts w:ascii="Times New Roman" w:hAnsi="Times New Roman" w:cs="Times New Roman"/>
            <w:color w:val="auto"/>
            <w:u w:val="none"/>
          </w:rPr>
          <w:t>пунктом 3</w:t>
        </w:r>
      </w:hyperlink>
      <w:r>
        <w:rPr>
          <w:rFonts w:ascii="Times New Roman" w:hAnsi="Times New Roman" w:cs="Times New Roman"/>
        </w:rPr>
        <w:t xml:space="preserve"> Порядка, а именно  срок  выхода  инвестиционного  проекта  на  проектную  операционную прибыль, увеличенный на 5 лет, но не более 10 лет).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. Обязательства инвестора: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срока действия специального инвестиционного контракта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осуществить инвестиционный проект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(создание или модернизация)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" w:hAnsi="Times New Roman" w:cs="Times New Roman"/>
        </w:rPr>
        <w:t>наименование и адрес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hyperlink r:id="rId31" w:anchor="P29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 прилагаемым к заявлению графиком выполнения таких операций;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мероприятий  инвестиционного проекта: ________________________________________________________________________________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proofErr w:type="gramStart"/>
      <w:r>
        <w:rPr>
          <w:rFonts w:ascii="Times New Roman" w:hAnsi="Times New Roman" w:cs="Times New Roman"/>
        </w:rPr>
        <w:t>перечисляются  основные</w:t>
      </w:r>
      <w:proofErr w:type="gramEnd"/>
      <w:r>
        <w:rPr>
          <w:rFonts w:ascii="Times New Roman" w:hAnsi="Times New Roman" w:cs="Times New Roman"/>
        </w:rPr>
        <w:t xml:space="preserve"> мероприятия инвестиционного проекта,   указанные в бизнес-плане)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внесение следующих расходов инвестиционного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hyperlink r:id="rId32" w:anchor="P435" w:history="1">
        <w:r>
          <w:rPr>
            <w:rStyle w:val="a6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66"/>
      </w:tblGrid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Приобретение, сооружение, изготовление оборудования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Таможенные пошлины и таможенные сборы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</w:rPr>
        <w:t>(общая сумма инвестиций в рублях (цифрами и прописью)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источника инвестиций: собственные средства, заемные     (кредитные) средства, средства участников инвестиционного договора,  заключаемого в целях реализации инвестиционного проекта в соответствии с     законодательством об инвестиционной деятельности, другие источники),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_______________________________________________________________________________; </w:t>
      </w:r>
      <w:r>
        <w:rPr>
          <w:rFonts w:ascii="Times New Roman" w:hAnsi="Times New Roman" w:cs="Times New Roman"/>
        </w:rPr>
        <w:t>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1623"/>
      </w:tblGrid>
      <w:tr w:rsidR="00147416" w:rsidTr="0014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3" w:history="1">
              <w:r>
                <w:rPr>
                  <w:rStyle w:val="a6"/>
                  <w:color w:val="auto"/>
                  <w:u w:val="none"/>
                  <w:lang w:eastAsia="en-US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4" w:anchor="P436" w:history="1">
              <w:r>
                <w:rPr>
                  <w:rStyle w:val="a6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35" w:anchor="P437" w:history="1">
              <w:r>
                <w:rPr>
                  <w:rStyle w:val="a6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147416" w:rsidTr="0014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ходе реализации инвестиционного проекта достижение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   показателей    в    отчетных    периодах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отчетный   период равен) ____________________________________________________________________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инвестором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отчетный период, который не может быть менее одного календарного года)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контракта</w:t>
      </w:r>
      <w:r>
        <w:t xml:space="preserve"> </w:t>
      </w:r>
      <w:hyperlink r:id="rId36" w:anchor="P438" w:history="1">
        <w:r>
          <w:rPr>
            <w:rStyle w:val="a6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424"/>
        <w:gridCol w:w="1417"/>
        <w:gridCol w:w="1418"/>
        <w:gridCol w:w="1417"/>
      </w:tblGrid>
      <w:tr w:rsidR="00147416" w:rsidTr="00147416">
        <w:trPr>
          <w:trHeight w:val="1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n-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отчетного периода </w:t>
            </w:r>
            <w:hyperlink r:id="rId37" w:anchor="P439" w:history="1">
              <w:r>
                <w:rPr>
                  <w:rStyle w:val="a6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7416" w:rsidRDefault="001474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147416" w:rsidRDefault="001474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7416" w:rsidRDefault="00147416" w:rsidP="001474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__________________________________________________________________________.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(иные обязательства, которые инвестор готов принять на себя в соответствии со специальным инвестиционным контрактом)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8" w:anchor="P441" w:history="1">
        <w:r>
          <w:rPr>
            <w:rStyle w:val="a6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(обязательства привлеченного лица в ходе реализации инвестиционного проекта)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  стимулирования  деятельности  в  сфере промышленности для включения в специальный инвестиционный контракт:</w:t>
      </w:r>
    </w:p>
    <w:p w:rsidR="00147416" w:rsidRDefault="00147416" w:rsidP="001474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3521"/>
      </w:tblGrid>
      <w:tr w:rsidR="00147416" w:rsidTr="001474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416" w:rsidRDefault="00147416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47416" w:rsidTr="001474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7416" w:rsidTr="001474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6" w:rsidRDefault="0014741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предлагаемые  инвестором  для включения в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7416" w:rsidRDefault="00147416" w:rsidP="00147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усмотрению инвестора указываются дополнительные условия специального инвестиционного контракта, не </w:t>
      </w:r>
      <w:proofErr w:type="gramStart"/>
      <w:r>
        <w:rPr>
          <w:rFonts w:ascii="Times New Roman" w:hAnsi="Times New Roman" w:cs="Times New Roman"/>
        </w:rPr>
        <w:t>противоречащие  законодательству</w:t>
      </w:r>
      <w:proofErr w:type="gramEnd"/>
      <w:r>
        <w:rPr>
          <w:rFonts w:ascii="Times New Roman" w:hAnsi="Times New Roman" w:cs="Times New Roman"/>
        </w:rPr>
        <w:t xml:space="preserve"> Российской Федерации, которые инвестор предлагает  включить в специальный инвестиционный контракт)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35"/>
      <w:bookmarkEnd w:id="12"/>
      <w:r>
        <w:rPr>
          <w:rFonts w:ascii="Times New Roman" w:hAnsi="Times New Roman" w:cs="Times New Roman"/>
          <w:sz w:val="24"/>
          <w:szCs w:val="24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anchor="P28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36"/>
      <w:bookmarkEnd w:id="13"/>
      <w:r>
        <w:rPr>
          <w:rFonts w:ascii="Times New Roman" w:hAnsi="Times New Roman" w:cs="Times New Roman"/>
          <w:sz w:val="24"/>
          <w:szCs w:val="24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437"/>
      <w:bookmarkEnd w:id="14"/>
      <w:r>
        <w:rPr>
          <w:rFonts w:ascii="Times New Roman" w:hAnsi="Times New Roman" w:cs="Times New Roman"/>
          <w:sz w:val="24"/>
          <w:szCs w:val="24"/>
        </w:rPr>
        <w:t>&lt;***&gt; Указываются следующие характеристики промышленной продукции: функциональное</w:t>
      </w:r>
      <w:r>
        <w:rPr>
          <w:rFonts w:ascii="Times New Roman" w:hAnsi="Times New Roman"/>
          <w:sz w:val="24"/>
          <w:szCs w:val="24"/>
        </w:rPr>
        <w:t xml:space="preserve">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/>
          <w:sz w:val="24"/>
          <w:szCs w:val="24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438"/>
      <w:bookmarkEnd w:id="15"/>
      <w:r>
        <w:rPr>
          <w:rFonts w:ascii="Times New Roman" w:hAnsi="Times New Roman"/>
          <w:sz w:val="24"/>
          <w:szCs w:val="24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6" w:name="P439"/>
      <w:bookmarkEnd w:id="16"/>
      <w:r>
        <w:rPr>
          <w:rFonts w:ascii="Times New Roman" w:hAnsi="Times New Roman"/>
          <w:sz w:val="24"/>
          <w:szCs w:val="24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440"/>
      <w:bookmarkEnd w:id="17"/>
      <w:r>
        <w:rPr>
          <w:rFonts w:ascii="Times New Roman" w:hAnsi="Times New Roman"/>
          <w:sz w:val="24"/>
          <w:szCs w:val="24"/>
        </w:rPr>
        <w:t xml:space="preserve">&lt;******&gt; Указываются иные результаты (показатели) реализации инвестиционного </w:t>
      </w:r>
      <w:r>
        <w:rPr>
          <w:rFonts w:ascii="Times New Roman" w:hAnsi="Times New Roman"/>
          <w:sz w:val="24"/>
          <w:szCs w:val="24"/>
        </w:rPr>
        <w:lastRenderedPageBreak/>
        <w:t>проекта по усмотрению инвестора.</w:t>
      </w:r>
    </w:p>
    <w:p w:rsidR="00147416" w:rsidRDefault="00147416" w:rsidP="0014741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441"/>
      <w:bookmarkEnd w:id="18"/>
      <w:r>
        <w:rPr>
          <w:rFonts w:ascii="Times New Roman" w:hAnsi="Times New Roman"/>
          <w:sz w:val="24"/>
          <w:szCs w:val="24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47416" w:rsidRDefault="00147416" w:rsidP="00147416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147416" w:rsidRDefault="00147416" w:rsidP="00147416">
      <w:pPr>
        <w:pStyle w:val="a3"/>
        <w:spacing w:after="600" w:line="322" w:lineRule="exact"/>
        <w:ind w:right="849"/>
        <w:rPr>
          <w:b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Порядку</w:t>
      </w:r>
      <w:proofErr w:type="gramEnd"/>
      <w:r>
        <w:rPr>
          <w:rFonts w:ascii="Times New Roman" w:hAnsi="Times New Roman"/>
        </w:rPr>
        <w:t xml:space="preserve"> заключения</w:t>
      </w: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специального </w:t>
      </w:r>
      <w:proofErr w:type="gramStart"/>
      <w:r>
        <w:rPr>
          <w:rFonts w:ascii="Times New Roman" w:hAnsi="Times New Roman"/>
        </w:rPr>
        <w:t>инвестиционного  контракта</w:t>
      </w:r>
      <w:proofErr w:type="gramEnd"/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______________________г. №____</w:t>
      </w:r>
    </w:p>
    <w:p w:rsidR="00147416" w:rsidRDefault="00147416" w:rsidP="001474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147416" w:rsidRDefault="00147416" w:rsidP="001474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147416" w:rsidRDefault="00147416" w:rsidP="001474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5 человек.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–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сельского поселения;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заместитель председателя комиссии </w:t>
      </w:r>
      <w:proofErr w:type="gramStart"/>
      <w:r>
        <w:rPr>
          <w:rFonts w:ascii="Times New Roman" w:hAnsi="Times New Roman"/>
          <w:sz w:val="28"/>
          <w:szCs w:val="28"/>
        </w:rPr>
        <w:t>–  депутат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секретарь комиссии – управляющий делами Администрации Сельского поселения;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Сельского поселения (по согласованию);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Представители промышленных, </w:t>
      </w:r>
      <w:proofErr w:type="gramStart"/>
      <w:r>
        <w:rPr>
          <w:rFonts w:ascii="Times New Roman" w:hAnsi="Times New Roman"/>
          <w:sz w:val="28"/>
          <w:szCs w:val="28"/>
        </w:rPr>
        <w:t>кредитных 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включаются в состав комиссии по представлению  Главы Администрации  по мере необходимости.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Персональный состав комиссии </w:t>
      </w:r>
      <w:proofErr w:type="gramStart"/>
      <w:r>
        <w:rPr>
          <w:rFonts w:ascii="Times New Roman" w:hAnsi="Times New Roman"/>
          <w:sz w:val="28"/>
          <w:szCs w:val="28"/>
        </w:rPr>
        <w:t>утверждается  распоряжением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после поступления заявления о заключении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Администрация не реже одного раза в месяц (при наличии заявлений о заключении специальных инвестиционных контрактов).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характеристики промышленной продукции, производство которой </w:t>
      </w:r>
      <w:r>
        <w:rPr>
          <w:rFonts w:ascii="Times New Roman" w:hAnsi="Times New Roman"/>
          <w:sz w:val="28"/>
          <w:szCs w:val="28"/>
        </w:rPr>
        <w:lastRenderedPageBreak/>
        <w:t>создается или модернизируется и (или) осваивается в ходе исполнения специального инвестиционного контракта;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147416" w:rsidRDefault="00147416" w:rsidP="00147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47416" w:rsidRDefault="00147416" w:rsidP="00147416">
      <w:pPr>
        <w:pStyle w:val="ConsPlusNormal"/>
        <w:tabs>
          <w:tab w:val="left" w:pos="1134"/>
        </w:tabs>
        <w:ind w:firstLine="54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Организационно-техническое обеспечение работы комиссии осуществляет Администрация сельского поселения.</w:t>
      </w:r>
    </w:p>
    <w:p w:rsidR="00147416" w:rsidRDefault="00147416" w:rsidP="00147416"/>
    <w:p w:rsidR="00BA35C7" w:rsidRDefault="00BA35C7"/>
    <w:sectPr w:rsidR="00BA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4"/>
    <w:rsid w:val="000F5384"/>
    <w:rsid w:val="00147416"/>
    <w:rsid w:val="00B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642D-EE57-4246-93A2-B389D6E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7416"/>
    <w:pPr>
      <w:tabs>
        <w:tab w:val="left" w:pos="3060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47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7416"/>
    <w:pPr>
      <w:ind w:left="720"/>
      <w:contextualSpacing/>
    </w:pPr>
  </w:style>
  <w:style w:type="paragraph" w:customStyle="1" w:styleId="ConsPlusTitle">
    <w:name w:val="ConsPlusTitle"/>
    <w:rsid w:val="0014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7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4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C1715AC290ABE29C004C1F0XEf6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consultantplus://offline/ref=915C10EF7A2B3099506448AB113A89E66E641B1CA7290ABE29C004C1F0XEf6L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5405</Words>
  <Characters>30810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2021-12-01T06:57:00Z</dcterms:created>
  <dcterms:modified xsi:type="dcterms:W3CDTF">2021-12-01T06:58:00Z</dcterms:modified>
</cp:coreProperties>
</file>