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FD7A1B" w:rsidRPr="00FD7A1B" w:rsidTr="00FD7A1B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АУЫЛ  БИЛӘМӘҺЕ ХАКИМИӘТЕ</w:t>
            </w:r>
          </w:p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ИЛЕК АУЫЛ СОВЕТЫ</w:t>
            </w:r>
          </w:p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РАЙОНЫНЫҢ</w:t>
            </w:r>
          </w:p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БЛАГОВЕЩЕН РАЙОНЫ</w:t>
            </w:r>
          </w:p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h</w:t>
            </w:r>
            <w:r w:rsidRPr="00FD7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D7A1B" w:rsidRPr="00FD7A1B" w:rsidRDefault="00FD7A1B" w:rsidP="00F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1B">
              <w:rPr>
                <w:rFonts w:eastAsia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A83C4E2" wp14:editId="561DC51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7A1B" w:rsidRPr="00FD7A1B" w:rsidRDefault="00FD7A1B" w:rsidP="00FD7A1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D7A1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FD7A1B" w:rsidRPr="00FD7A1B" w:rsidRDefault="00FD7A1B" w:rsidP="00FD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FD7A1B" w:rsidRPr="00FD7A1B" w:rsidRDefault="00FD7A1B" w:rsidP="00FD7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A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 w:rsidRPr="00FD7A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КАРАР</w:t>
      </w:r>
      <w:r w:rsidRPr="00FD7A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  <w:r w:rsidRPr="00FD7A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D7A1B" w:rsidRPr="00FD7A1B" w:rsidRDefault="00FD7A1B" w:rsidP="00FD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1B" w:rsidRPr="00FD7A1B" w:rsidRDefault="00FD7A1B" w:rsidP="00FD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декабрь 2022 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61-1</w:t>
      </w:r>
      <w:r w:rsidRPr="00FD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29 декабря 2022  г.</w:t>
      </w:r>
    </w:p>
    <w:p w:rsidR="003E1FBC" w:rsidRPr="00C85915" w:rsidRDefault="003E1FBC" w:rsidP="00FD7A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AC0E3F"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FD7A1B">
        <w:rPr>
          <w:rFonts w:ascii="Times New Roman" w:hAnsi="Times New Roman" w:cs="Times New Roman"/>
          <w:b w:val="0"/>
          <w:sz w:val="28"/>
          <w:szCs w:val="28"/>
        </w:rPr>
        <w:t>3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FD7A1B">
        <w:rPr>
          <w:rFonts w:ascii="Times New Roman" w:hAnsi="Times New Roman" w:cs="Times New Roman"/>
          <w:b w:val="0"/>
          <w:sz w:val="28"/>
          <w:szCs w:val="28"/>
        </w:rPr>
        <w:t>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FD7A1B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E72D5">
        <w:rPr>
          <w:rFonts w:ascii="Times New Roman" w:hAnsi="Times New Roman" w:cs="Times New Roman"/>
          <w:b w:val="0"/>
          <w:bCs w:val="0"/>
          <w:sz w:val="28"/>
          <w:szCs w:val="28"/>
        </w:rPr>
        <w:t>477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72D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E72D5">
        <w:rPr>
          <w:rFonts w:ascii="Times New Roman" w:hAnsi="Times New Roman" w:cs="Times New Roman"/>
          <w:b w:val="0"/>
          <w:bCs w:val="0"/>
          <w:sz w:val="28"/>
          <w:szCs w:val="28"/>
        </w:rPr>
        <w:t>477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72D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15077E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633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639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633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 000,00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639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E7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337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5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2024 и 2025 годов согласно приложению 6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годов, а также сокращающие его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C0E3F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софинансирования расходных обязательств в целях выполнения условий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Default="006B7A05" w:rsidP="00F633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сельского поселения </w:t>
      </w:r>
      <w:r w:rsidR="00AC0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745614" w:rsidRDefault="0071125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</w:t>
      </w:r>
      <w:r w:rsidR="00CE76D0">
        <w:rPr>
          <w:b w:val="0"/>
          <w:bCs w:val="0"/>
          <w:i w:val="0"/>
          <w:iCs w:val="0"/>
        </w:rPr>
        <w:t>Ба</w:t>
      </w:r>
      <w:r w:rsidR="00AC0E3F">
        <w:rPr>
          <w:b w:val="0"/>
          <w:bCs w:val="0"/>
          <w:i w:val="0"/>
          <w:iCs w:val="0"/>
        </w:rPr>
        <w:t>тршин Д.З.</w:t>
      </w:r>
    </w:p>
    <w:sectPr w:rsidR="000B5FB0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B8" w:rsidRDefault="000537B8" w:rsidP="00A73E2F">
      <w:pPr>
        <w:spacing w:after="0" w:line="240" w:lineRule="auto"/>
      </w:pPr>
      <w:r>
        <w:separator/>
      </w:r>
    </w:p>
  </w:endnote>
  <w:endnote w:type="continuationSeparator" w:id="0">
    <w:p w:rsidR="000537B8" w:rsidRDefault="000537B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B8" w:rsidRDefault="000537B8" w:rsidP="00A73E2F">
      <w:pPr>
        <w:spacing w:after="0" w:line="240" w:lineRule="auto"/>
      </w:pPr>
      <w:r>
        <w:separator/>
      </w:r>
    </w:p>
  </w:footnote>
  <w:footnote w:type="continuationSeparator" w:id="0">
    <w:p w:rsidR="000537B8" w:rsidRDefault="000537B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B4" w:rsidRPr="00156A4F" w:rsidRDefault="005B226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FD7A1B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37B8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3657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226F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3374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C72EB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0E3F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3CE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E72D5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2CC5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33DC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D7A1B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E22D68-66B9-4255-BD31-9D59A36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2E8C-F65D-410A-AACA-13F9DF9E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i3</cp:lastModifiedBy>
  <cp:revision>12</cp:revision>
  <cp:lastPrinted>2022-12-22T08:57:00Z</cp:lastPrinted>
  <dcterms:created xsi:type="dcterms:W3CDTF">2022-11-13T15:50:00Z</dcterms:created>
  <dcterms:modified xsi:type="dcterms:W3CDTF">2022-12-29T07:17:00Z</dcterms:modified>
</cp:coreProperties>
</file>