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E0" w:rsidRPr="00C85915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A87D45" w:rsidTr="00A87D45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87D45" w:rsidRDefault="00A87D45" w:rsidP="00D4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 АУЫЛ СОВЕТЫ</w:t>
            </w:r>
          </w:p>
          <w:p w:rsidR="00A87D45" w:rsidRDefault="00A87D45" w:rsidP="00D4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A87D45" w:rsidRDefault="00A87D45" w:rsidP="00D4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A87D45" w:rsidRDefault="00A87D45" w:rsidP="00D4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87D45" w:rsidRDefault="00A87D45" w:rsidP="00D4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87D45" w:rsidRDefault="00A87D45" w:rsidP="00D45A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A87D45" w:rsidRDefault="00A87D45" w:rsidP="00D4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7D45" w:rsidRDefault="00A87D45" w:rsidP="00A8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D45" w:rsidRDefault="00A87D45" w:rsidP="00A8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A87D45" w:rsidRDefault="00A87D45" w:rsidP="00A87D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«25» декабрь  2024 й.                  №35-1                «25» декабря 2024 г.</w:t>
      </w:r>
    </w:p>
    <w:p w:rsidR="00A87D45" w:rsidRDefault="00A87D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30330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r w:rsidR="002649F3"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sz w:val="28"/>
          <w:szCs w:val="28"/>
        </w:rPr>
        <w:t>2025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3B7243">
        <w:rPr>
          <w:rFonts w:ascii="Times New Roman" w:hAnsi="Times New Roman" w:cs="Times New Roman"/>
          <w:b w:val="0"/>
          <w:sz w:val="28"/>
          <w:szCs w:val="28"/>
        </w:rPr>
        <w:t>2026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B7243">
        <w:rPr>
          <w:rFonts w:ascii="Times New Roman" w:hAnsi="Times New Roman" w:cs="Times New Roman"/>
          <w:b w:val="0"/>
          <w:sz w:val="28"/>
          <w:szCs w:val="28"/>
        </w:rPr>
        <w:t>2027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415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415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155B8D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16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932A33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A47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="00F167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для последующего доведения в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непрограммным направлениям деятельности),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группам видов расходов классификации расходов бюджетов</w:t>
      </w:r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68616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67C8" w:rsidRPr="00C96B65" w:rsidRDefault="00F167C8" w:rsidP="00F167C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B65">
        <w:rPr>
          <w:rFonts w:ascii="Times New Roman" w:hAnsi="Times New Roman" w:cs="Times New Roman"/>
          <w:b w:val="0"/>
          <w:bCs w:val="0"/>
          <w:sz w:val="28"/>
          <w:szCs w:val="28"/>
        </w:rPr>
        <w:t>16. Установить предельный объем заимствований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Иликовский сельсовет муниципального района Благовещенский район Республики Башкортостан, в течение финансового года, на 2025 год в сумме 0,00 рублей, на 2026 год в сумме 0,00 рублей, на 2027 год в сумме 0,00 рублей.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</w:t>
      </w:r>
      <w:r w:rsidR="003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области дорожного хозяйства.</w:t>
      </w:r>
    </w:p>
    <w:p w:rsidR="004A0045" w:rsidRDefault="00F906FC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2649F3" w:rsidRDefault="002649F3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49F3" w:rsidRDefault="002649F3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5FB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1" w:name="Par12"/>
      <w:bookmarkEnd w:id="1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 w:rsidR="00AE34DD">
        <w:rPr>
          <w:b w:val="0"/>
          <w:bCs w:val="0"/>
          <w:i w:val="0"/>
          <w:iCs w:val="0"/>
        </w:rPr>
        <w:t>Ба</w:t>
      </w:r>
      <w:r w:rsidR="002649F3">
        <w:rPr>
          <w:b w:val="0"/>
          <w:bCs w:val="0"/>
          <w:i w:val="0"/>
          <w:iCs w:val="0"/>
        </w:rPr>
        <w:t>тршин Д.З.</w:t>
      </w:r>
    </w:p>
    <w:sectPr w:rsidR="000B5FB0" w:rsidSect="00A87D45">
      <w:headerReference w:type="default" r:id="rId8"/>
      <w:headerReference w:type="first" r:id="rId9"/>
      <w:pgSz w:w="11906" w:h="16838"/>
      <w:pgMar w:top="0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D6" w:rsidRDefault="008D07D6" w:rsidP="00A73E2F">
      <w:pPr>
        <w:spacing w:after="0" w:line="240" w:lineRule="auto"/>
      </w:pPr>
      <w:r>
        <w:separator/>
      </w:r>
    </w:p>
  </w:endnote>
  <w:endnote w:type="continuationSeparator" w:id="0">
    <w:p w:rsidR="008D07D6" w:rsidRDefault="008D07D6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D6" w:rsidRDefault="008D07D6" w:rsidP="00A73E2F">
      <w:pPr>
        <w:spacing w:after="0" w:line="240" w:lineRule="auto"/>
      </w:pPr>
      <w:r>
        <w:separator/>
      </w:r>
    </w:p>
  </w:footnote>
  <w:footnote w:type="continuationSeparator" w:id="0">
    <w:p w:rsidR="008D07D6" w:rsidRDefault="008D07D6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156A4F" w:rsidRDefault="007560B9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A87D45">
      <w:rPr>
        <w:rFonts w:ascii="Times New Roman" w:hAnsi="Times New Roman" w:cs="Times New Roman"/>
        <w:noProof/>
        <w:sz w:val="28"/>
        <w:szCs w:val="28"/>
      </w:rPr>
      <w:t>9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574A"/>
    <w:rsid w:val="0002676D"/>
    <w:rsid w:val="00026776"/>
    <w:rsid w:val="00030618"/>
    <w:rsid w:val="000341A4"/>
    <w:rsid w:val="00034E13"/>
    <w:rsid w:val="00036255"/>
    <w:rsid w:val="000378E8"/>
    <w:rsid w:val="00037F27"/>
    <w:rsid w:val="0004244F"/>
    <w:rsid w:val="0004562D"/>
    <w:rsid w:val="000467CD"/>
    <w:rsid w:val="0004719B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5B8D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04"/>
    <w:rsid w:val="00254F76"/>
    <w:rsid w:val="00257646"/>
    <w:rsid w:val="002603AD"/>
    <w:rsid w:val="00260541"/>
    <w:rsid w:val="00261420"/>
    <w:rsid w:val="0026333F"/>
    <w:rsid w:val="002649F3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A5A4F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202A"/>
    <w:rsid w:val="002E3E2E"/>
    <w:rsid w:val="002E4D2B"/>
    <w:rsid w:val="002F0453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4666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3CF9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B7243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40C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75A4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06C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07125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DE3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4215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34E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0A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0E2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4977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163"/>
    <w:rsid w:val="00686BBE"/>
    <w:rsid w:val="00687E2B"/>
    <w:rsid w:val="006901B5"/>
    <w:rsid w:val="00690237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A7A96"/>
    <w:rsid w:val="006B0977"/>
    <w:rsid w:val="006B0DC9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5FF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0B9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2D59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4998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51B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1D44"/>
    <w:rsid w:val="00822178"/>
    <w:rsid w:val="00822C37"/>
    <w:rsid w:val="00823EC8"/>
    <w:rsid w:val="00826350"/>
    <w:rsid w:val="00826409"/>
    <w:rsid w:val="00826E89"/>
    <w:rsid w:val="008324E8"/>
    <w:rsid w:val="0083590A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7D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3F43"/>
    <w:rsid w:val="00905058"/>
    <w:rsid w:val="00907062"/>
    <w:rsid w:val="009076FD"/>
    <w:rsid w:val="009113E3"/>
    <w:rsid w:val="00914BD4"/>
    <w:rsid w:val="00915504"/>
    <w:rsid w:val="00915652"/>
    <w:rsid w:val="00915E94"/>
    <w:rsid w:val="00920B73"/>
    <w:rsid w:val="009215E1"/>
    <w:rsid w:val="00922A9C"/>
    <w:rsid w:val="00922B43"/>
    <w:rsid w:val="0092515D"/>
    <w:rsid w:val="00925DF3"/>
    <w:rsid w:val="00926556"/>
    <w:rsid w:val="00930330"/>
    <w:rsid w:val="009328F0"/>
    <w:rsid w:val="00932A33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2A94"/>
    <w:rsid w:val="00944796"/>
    <w:rsid w:val="0094701D"/>
    <w:rsid w:val="00947349"/>
    <w:rsid w:val="00952A51"/>
    <w:rsid w:val="0095316E"/>
    <w:rsid w:val="00954033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0E52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793"/>
    <w:rsid w:val="00A069A0"/>
    <w:rsid w:val="00A06DC1"/>
    <w:rsid w:val="00A072CE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4774C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87D45"/>
    <w:rsid w:val="00A9150E"/>
    <w:rsid w:val="00A940B0"/>
    <w:rsid w:val="00A94C0F"/>
    <w:rsid w:val="00A95C58"/>
    <w:rsid w:val="00A96807"/>
    <w:rsid w:val="00AA1979"/>
    <w:rsid w:val="00AA3DD7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34DD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07E1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092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11CB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1DA1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E76D0"/>
    <w:rsid w:val="00CE7A0F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A718F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67C8"/>
    <w:rsid w:val="00F1776F"/>
    <w:rsid w:val="00F17BE4"/>
    <w:rsid w:val="00F20449"/>
    <w:rsid w:val="00F211A9"/>
    <w:rsid w:val="00F21253"/>
    <w:rsid w:val="00F214A1"/>
    <w:rsid w:val="00F23153"/>
    <w:rsid w:val="00F234DC"/>
    <w:rsid w:val="00F237A9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23A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06FC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152E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1170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144C65-2BD7-4734-9A9D-FEC7227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9C9B-38C7-4801-8C66-3AB76DFE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i3</cp:lastModifiedBy>
  <cp:revision>32</cp:revision>
  <cp:lastPrinted>2024-12-27T10:04:00Z</cp:lastPrinted>
  <dcterms:created xsi:type="dcterms:W3CDTF">2022-11-13T15:50:00Z</dcterms:created>
  <dcterms:modified xsi:type="dcterms:W3CDTF">2024-12-27T10:04:00Z</dcterms:modified>
</cp:coreProperties>
</file>