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Pr="002E4A3F" w:rsidRDefault="00542805" w:rsidP="00542805">
      <w:pPr>
        <w:pStyle w:val="af5"/>
        <w:rPr>
          <w:rFonts w:ascii="Times New Roman" w:hAnsi="Times New Roman" w:cs="Times New Roman"/>
          <w:sz w:val="24"/>
          <w:szCs w:val="24"/>
        </w:rPr>
      </w:pPr>
      <w:bookmarkStart w:id="0" w:name="_GoBack"/>
      <w:bookmarkEnd w:id="0"/>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4DB5">
        <w:rPr>
          <w:rFonts w:ascii="Times New Roman" w:hAnsi="Times New Roman" w:cs="Times New Roman"/>
          <w:b/>
          <w:sz w:val="24"/>
          <w:szCs w:val="24"/>
        </w:rPr>
        <w:t>И</w:t>
      </w:r>
      <w:r w:rsidR="00CF1B6E">
        <w:rPr>
          <w:rFonts w:ascii="Times New Roman" w:hAnsi="Times New Roman" w:cs="Times New Roman"/>
          <w:b/>
          <w:sz w:val="24"/>
          <w:szCs w:val="24"/>
        </w:rPr>
        <w:t>ликовский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lastRenderedPageBreak/>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C34DB5">
        <w:t>И</w:t>
      </w:r>
      <w:r w:rsidR="00CF1B6E">
        <w:t>ликовский</w:t>
      </w:r>
      <w:r w:rsidR="003969C2" w:rsidRPr="00223E63">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CD3548"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CD3548"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CD3548"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CD3548"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CD3548"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CD3548"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CD3548"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CD3548"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CD3548"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CD3548"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CD3548"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CD3548"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CD3548"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CD3548"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CD3548"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CD3548"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CD3548"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CD3548"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CD3548"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CD3548"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CD3548"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CD3548"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CD3548"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CD3548"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CD3548"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CD3548"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CD3548"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CD3548"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CD3548"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CD3548"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CD3548"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CD3548"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CD3548"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CD3548"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CD3548"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CD3548"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CD3548"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CD3548"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CD3548"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CD3548"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CD3548"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CD3548"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D3548"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CD3548"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CD3548"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CD3548"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CD3548"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CD3548"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CD3548"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CD3548"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CD3548"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CD3548"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CD3548"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CD3548"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D3548"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CD3548"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CD3548"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CD3548"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CD3548"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CD3548"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CD3548"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CD3548"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CD3548"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CD3548"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CD3548"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CD3548"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CD3548"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CD3548"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CD3548"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CD3548"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CD3548"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CD3548"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CD3548"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CD3548"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CD3548"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lastRenderedPageBreak/>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CD3548"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 xml:space="preserve">Объекты капитального строительства, иные объекты, территории, которые необходимы для осуществления органами местного самоуправления </w:t>
      </w:r>
      <w:r w:rsidRPr="009047F0">
        <w:rPr>
          <w:color w:val="000000"/>
          <w:shd w:val="clear" w:color="auto" w:fill="FFFFFF"/>
        </w:rPr>
        <w:lastRenderedPageBreak/>
        <w:t>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 xml:space="preserve">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w:t>
      </w:r>
      <w:r w:rsidR="004F1FA9" w:rsidRPr="009047F0">
        <w:rPr>
          <w:shd w:val="clear" w:color="auto" w:fill="FFFFFF"/>
        </w:rPr>
        <w:lastRenderedPageBreak/>
        <w:t>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lastRenderedPageBreak/>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lastRenderedPageBreak/>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lastRenderedPageBreak/>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 xml:space="preserve">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w:t>
      </w:r>
      <w:r w:rsidR="00F25267" w:rsidRPr="009047F0">
        <w:lastRenderedPageBreak/>
        <w:t>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lastRenderedPageBreak/>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 xml:space="preserve">жилищных фондов, а также специализированного жилищного фонда (служебные жилые помещения; жилые помещения в общежитиях; жилые помещения </w:t>
      </w:r>
      <w:r w:rsidR="005C7FD6" w:rsidRPr="009047F0">
        <w:lastRenderedPageBreak/>
        <w:t>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lastRenderedPageBreak/>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lastRenderedPageBreak/>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lastRenderedPageBreak/>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t xml:space="preserve">Устанавливается в зависимости от демографической 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t>Расчетные показатели размера земельного 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общеобразовательных 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Размеры земельных участков межшкольных учебных комбинатов рекомендуется принимать не менее 2 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Количество пож.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CD3548"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CD3548"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CD3548"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CD3548"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CD3548"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CD3548"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CD3548"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CD3548"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CD3548"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CD3548"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CD3548"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CD3548"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CD3548"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CD3548"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CD354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CD354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CD3548"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CD3548"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CD3548"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CD3548"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CD3548"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CD3548"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CD3548"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CD354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CD354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CD3548"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CD3548"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CD3548"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CD3548"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CD3548"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CD3548"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CD3548"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CD3548"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CD3548"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CD3548"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161F"/>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3548"/>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44CACC-942C-4CB8-B1D9-7769F0D2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74798</Words>
  <Characters>426351</Characters>
  <Application>Microsoft Office Word</Application>
  <DocSecurity>0</DocSecurity>
  <Lines>3552</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6</cp:revision>
  <cp:lastPrinted>2015-12-02T10:59:00Z</cp:lastPrinted>
  <dcterms:created xsi:type="dcterms:W3CDTF">2026-02-13T06:32:00Z</dcterms:created>
  <dcterms:modified xsi:type="dcterms:W3CDTF">2026-02-16T11:08:00Z</dcterms:modified>
</cp:coreProperties>
</file>